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 xml:space="preserve">Приложение №3 к Документации </w:t>
      </w:r>
      <w:r w:rsidR="002203A1" w:rsidRPr="002203A1">
        <w:rPr>
          <w:i/>
        </w:rPr>
        <w:t xml:space="preserve">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 xml:space="preserve">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Отборочный этап</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1.1</w:t>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Статус участника закупки</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1.1.1</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Документы, подтверждающие правоспособность Участника:</w:t>
              <w:br/>
              <w:t xml:space="preserve">•	Наличие сведений об участнике в ЕГРЮЛ/ЕГРИП,</w:t>
              <w:br/>
              <w:t xml:space="preserve">•	Устав (в том числе типовой) (копия, заверенная Участником),</w:t>
              <w:br/>
              <w:t xml:space="preserve">•	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br/>
              <w:t xml:space="preserve">•	Свидетельство о постановке на учет в налоговом органе по месту нахождения и присвоении ИНН/КПП (копия, заверенная Участником).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1.1.2.1</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Справка об участии в судебных разбирательствах, 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1.1.2.2</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1.1.2.3</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Справка о кадровых ресурсах, 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1.1.2.4</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Справка об участии в судебных разбирательствах, 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1.1.2.5</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1.1.3</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1.1.4</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1.1.5</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1.1.6</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Сведения в реестре (-ах) недобросовестных поставщиков</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1.1.7</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1.1.8</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Сведения в реестре иностранных агентов,  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1.1.9</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Декларация о соответствии Участника закупки установленным требованиям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1.2</w:t>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Статус оферты участника закупки</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1.2.1</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Документы (копии, заверенные участником), подтверждающие полномочия лица, подписавшего оферту</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1.2.2.1</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срок действия оферты</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1.2.2.2</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номенклатуры МТР, вида (перечня) работ или услуг</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1.2.2.3</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срока поставки товаров, выполнения работ, оказания услуг</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1.2.2.4</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объема поставки, работ, услуг</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1.2.2.5</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содержание оферты в части гарантий качества МТР, работ и услуг, представленных Участником</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1.2.2.6</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Информация и документы заявки (в том числе отсутствие разногласий к исходному проекту договора)</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1.3</w:t>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Требования к статусу коллективного участника  </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8"/>
        <w:gridCol w:w="6125"/>
      </w:tblGrid>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 xml:space="preserve">1.3.1</w:t>
            </w:r>
          </w:p>
        </w:tc>
        <w:tc>
          <w:tcPr>
            <w:tcW w:w="385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 xml:space="preserve">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3A1" w:rsidRDefault="002203A1" w:rsidP="002203A1">
            <w:pPr>
              <w:spacing w:before="120" w:after="120"/>
              <w:rPr>
                <w:rFonts w:cs="Tahoma"/>
                <w:szCs w:val="20"/>
                <w:lang w:val="en-US"/>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1.4</w:t>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Наличие сведений в https://ofd.nalog.ru</w:t>
              <w:br/>
              <w:t xml:space="preserve"> https://npd.nalog.ru</w:t>
            </w:r>
          </w:p>
        </w:tc>
      </w:tr>
    </w:tbl>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6140"/>
      </w:tblGrid>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r>
              <w:rPr>
                <w:rFonts w:cs="Tahoma"/>
                <w:b/>
                <w:szCs w:val="20"/>
              </w:rPr>
              <w:t xml:space="preserve">1.5</w:t>
            </w: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Default="002203A1">
      <w:pPr>
        <w:spacing w:after="160" w:line="259" w:lineRule="auto"/>
        <w:rPr>
          <w:lang w:val="en-US"/>
        </w:rPr>
      </w:pPr>
      <w:r>
        <w:rPr>
          <w:lang w:val="en-US"/>
        </w:rPr>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w:t>
      </w:r>
      <w:r w:rsidRPr="002203A1">
        <w:rPr>
          <w:b/>
        </w:rPr>
        <w:t>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bl>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w:t>
            </w:r>
            <w:r w:rsidRPr="002203A1">
              <w:rPr>
                <w:b/>
              </w:rPr>
              <w:t xml:space="preserve"> </w:t>
            </w:r>
          </w:p>
        </w:tc>
        <w:tc>
          <w:tcPr>
            <w:tcW w:w="2127" w:type="dxa"/>
            <w:shd w:val="clear" w:color="auto" w:fill="auto"/>
          </w:tcPr>
          <w:p w14:paraId="090DB0E7" w14:textId="575393DB" w:rsidR="002203A1" w:rsidRPr="002203A1" w:rsidRDefault="002203A1" w:rsidP="002203A1">
            <w:pPr>
              <w:spacing w:line="276" w:lineRule="auto"/>
              <w:rPr>
                <w:b/>
                <w:lang w:val="en-US"/>
              </w:rPr>
            </w:pPr>
            <w:r w:rsidR="002203A1" w:rsidRPr="002203A1">
              <w:rPr>
                <w:rFonts w:cs="Tahoma"/>
                <w:b/>
                <w:szCs w:val="20"/>
              </w:rPr>
              <w:t xml:space="preserve">Стоимость предложения</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 xml:space="preserve">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commentRangeStart w:id="0"/>
      <w:commentRangeStart w:id="1"/>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sidR="002203A1">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2203A1" w:rsidRDefault="002203A1" w:rsidP="002203A1">
      <w:pPr>
        <w:jc w:val="both"/>
        <w:rPr>
          <w:rFonts w:cs="Tahoma"/>
          <w:color w:val="FF0000"/>
        </w:rPr>
      </w:pPr>
      <w:commentRangeStart w:id="2"/>
      <w:r w:rsidRPr="002203A1">
        <w:rPr>
          <w:rFonts w:cs="Tahoma"/>
          <w:szCs w:val="20"/>
        </w:rPr>
        <w:t xml:space="preserve">           </w:t>
      </w:r>
      <w:r w:rsidRPr="002203A1">
        <w:rPr>
          <w:rFonts w:cs="Tahoma"/>
          <w:color w:val="FF0000"/>
          <w:szCs w:val="20"/>
          <w:highlight w:val="yellow"/>
        </w:rPr>
        <w:t xml:space="preserve">Предоставление национального режима </w:t>
      </w:r>
      <w:r w:rsidRPr="002203A1">
        <w:rPr>
          <w:rFonts w:cs="Tahoma"/>
          <w:color w:val="FF0000"/>
          <w:highlight w:val="yellow"/>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2203A1">
        <w:rPr>
          <w:rFonts w:cs="Tahoma"/>
          <w:color w:val="FF0000"/>
          <w:szCs w:val="20"/>
          <w:highlight w:val="yellow"/>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2203A1">
        <w:rPr>
          <w:rFonts w:cs="Tahoma"/>
          <w:color w:val="FF0000"/>
          <w:highlight w:val="yellow"/>
        </w:rPr>
        <w:t xml:space="preserve"> от 23.12.2024</w:t>
      </w:r>
      <w:r w:rsidRPr="002203A1">
        <w:rPr>
          <w:rFonts w:cs="Tahoma"/>
          <w:color w:val="FF0000"/>
        </w:rPr>
        <w:t>.</w:t>
      </w:r>
      <w:r>
        <w:rPr>
          <w:rStyle w:val="a7"/>
        </w:rPr>
        <w:commentReference w:id="2"/>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 xml:space="preserve">Ставка – ключевая ставка ЦБ РФ (согласно данным официального сайта ЦБ РФ </w:t>
      </w:r>
      <w:r w:rsidRPr="002203A1">
        <w:rPr>
          <w:rFonts w:cs="Tahoma"/>
        </w:rPr>
        <w:t>https://cbr.ru/</w:t>
      </w:r>
      <w:r w:rsidRPr="002203A1">
        <w:rPr>
          <w:rFonts w:cs="Tahoma"/>
        </w:rPr>
        <w:t>),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lastRenderedPageBreak/>
        <w:t xml:space="preserve">Балльная оценка каждой заявки по критерию «Стоимость </w:t>
      </w:r>
      <w:r w:rsidR="002203A1">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203A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203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203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w:t>
      </w:r>
      <w:r w:rsidR="002203A1">
        <w:rPr>
          <w:rFonts w:cs="Tahoma"/>
        </w:rPr>
        <w:t>под</w:t>
      </w:r>
      <w:r>
        <w:rPr>
          <w:rFonts w:cs="Tahoma"/>
        </w:rPr>
        <w:t xml:space="preserve">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2203A1">
        <w:rPr>
          <w:rFonts w:cs="Tahoma"/>
        </w:rPr>
        <w:t>под</w:t>
      </w:r>
      <w:r>
        <w:rPr>
          <w:rFonts w:cs="Tahoma"/>
        </w:rPr>
        <w:t>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w:t>
      </w:r>
      <w:r w:rsidR="002203A1">
        <w:rPr>
          <w:rFonts w:cs="Tahoma"/>
        </w:rPr>
        <w:t>под</w:t>
      </w:r>
      <w:r>
        <w:rPr>
          <w:rFonts w:cs="Tahoma"/>
        </w:rPr>
        <w:t xml:space="preserve">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2203A1">
        <w:rPr>
          <w:rFonts w:cs="Tahoma"/>
        </w:rPr>
        <w:t>под</w:t>
      </w:r>
      <w:r>
        <w:rPr>
          <w:rFonts w:cs="Tahoma"/>
        </w:rPr>
        <w:t>критерия "Условия оплаты"</w:t>
      </w:r>
      <w:r w:rsidR="002203A1">
        <w:rPr>
          <w:rStyle w:val="a7"/>
        </w:rPr>
        <w:commentReference w:id="0"/>
      </w:r>
      <w:r w:rsidR="002203A1">
        <w:rPr>
          <w:rStyle w:val="a7"/>
        </w:rPr>
        <w:commentReference w:id="1"/>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77777777" w:rsidR="002203A1" w:rsidRDefault="002203A1" w:rsidP="002203A1">
      <w:pPr>
        <w:pStyle w:val="a6"/>
        <w:numPr>
          <w:ilvl w:val="0"/>
          <w:numId w:val="4"/>
        </w:numPr>
        <w:spacing w:after="0" w:line="276" w:lineRule="auto"/>
        <w:jc w:val="left"/>
        <w:rPr>
          <w:b/>
          <w:color w:val="FF0000"/>
        </w:rPr>
      </w:pPr>
      <w:commentRangeStart w:id="3"/>
      <w:r>
        <w:rPr>
          <w:b/>
          <w:color w:val="FF0000"/>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lastRenderedPageBreak/>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Default="002203A1" w:rsidP="002203A1">
      <w:pPr>
        <w:ind w:firstLine="708"/>
        <w:jc w:val="both"/>
        <w:rPr>
          <w:rFonts w:cs="Tahoma"/>
          <w:color w:val="FF0000"/>
          <w:szCs w:val="20"/>
          <w:lang w:eastAsia="x-none"/>
        </w:rPr>
      </w:pPr>
      <w:r>
        <w:rPr>
          <w:rFonts w:cs="Tahoma"/>
          <w:color w:val="FF0000"/>
          <w:szCs w:val="20"/>
          <w:lang w:eastAsia="x-none"/>
        </w:rPr>
        <w:t>По критерию «Стоимость предложения» оценка производится в соответствии со следующей методикой:</w:t>
      </w:r>
    </w:p>
    <w:p w14:paraId="3373FBF7" w14:textId="77777777" w:rsidR="002203A1" w:rsidRPr="002203A1" w:rsidRDefault="002203A1" w:rsidP="002203A1">
      <w:pPr>
        <w:jc w:val="both"/>
        <w:rPr>
          <w:rFonts w:cs="Tahoma"/>
          <w:color w:val="FF0000"/>
        </w:rPr>
      </w:pPr>
      <w:commentRangeStart w:id="4"/>
      <w:r w:rsidRPr="002203A1">
        <w:rPr>
          <w:rFonts w:cs="Tahoma"/>
          <w:szCs w:val="20"/>
        </w:rPr>
        <w:t xml:space="preserve">           </w:t>
      </w:r>
      <w:r w:rsidRPr="002203A1">
        <w:rPr>
          <w:rFonts w:cs="Tahoma"/>
          <w:color w:val="FF0000"/>
          <w:szCs w:val="20"/>
          <w:highlight w:val="yellow"/>
        </w:rPr>
        <w:t xml:space="preserve">Предоставление национального режима </w:t>
      </w:r>
      <w:r w:rsidRPr="002203A1">
        <w:rPr>
          <w:rFonts w:cs="Tahoma"/>
          <w:color w:val="FF0000"/>
          <w:highlight w:val="yellow"/>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2203A1">
        <w:rPr>
          <w:rFonts w:cs="Tahoma"/>
          <w:color w:val="FF0000"/>
          <w:szCs w:val="20"/>
          <w:highlight w:val="yellow"/>
        </w:rPr>
        <w:t xml:space="preserve">установление Преимущества в отношении заявок, содержащих предложения о поставке товара </w:t>
      </w:r>
      <w:r w:rsidRPr="002203A1">
        <w:rPr>
          <w:rFonts w:cs="Tahoma"/>
          <w:color w:val="FF0000"/>
          <w:szCs w:val="20"/>
          <w:highlight w:val="yellow"/>
        </w:rPr>
        <w:t>российского происхождения, с учетом требований ПП РФ №1875</w:t>
      </w:r>
      <w:r w:rsidRPr="002203A1">
        <w:rPr>
          <w:rFonts w:cs="Tahoma"/>
          <w:color w:val="FF0000"/>
          <w:highlight w:val="yellow"/>
        </w:rPr>
        <w:t xml:space="preserve"> от 23.12.2024</w:t>
      </w:r>
      <w:r w:rsidRPr="002203A1">
        <w:rPr>
          <w:rFonts w:cs="Tahoma"/>
          <w:color w:val="FF0000"/>
        </w:rPr>
        <w:t>.</w:t>
      </w:r>
      <w:r>
        <w:rPr>
          <w:rStyle w:val="a7"/>
        </w:rPr>
        <w:commentReference w:id="4"/>
      </w:r>
    </w:p>
    <w:p w14:paraId="03960BC0" w14:textId="77777777" w:rsidR="002203A1" w:rsidRPr="002203A1" w:rsidRDefault="002203A1" w:rsidP="002203A1">
      <w:pPr>
        <w:jc w:val="both"/>
        <w:rPr>
          <w:rFonts w:cs="Tahoma"/>
          <w:color w:val="FF0000"/>
          <w:sz w:val="12"/>
          <w:szCs w:val="12"/>
          <w:lang w:eastAsia="x-none"/>
        </w:rPr>
      </w:pPr>
    </w:p>
    <w:p w14:paraId="0450BC3E" w14:textId="77777777" w:rsidR="002203A1" w:rsidRDefault="002203A1" w:rsidP="002203A1">
      <w:pPr>
        <w:jc w:val="both"/>
        <w:rPr>
          <w:rFonts w:cs="Tahoma"/>
          <w:color w:val="FF0000"/>
          <w:szCs w:val="20"/>
          <w:lang w:eastAsia="en-US"/>
        </w:rPr>
      </w:pPr>
    </w:p>
    <w:p w14:paraId="2852395E" w14:textId="77777777" w:rsidR="002203A1" w:rsidRDefault="002203A1" w:rsidP="002203A1">
      <w:pPr>
        <w:jc w:val="both"/>
        <w:rPr>
          <w:rFonts w:cs="Tahoma"/>
          <w:color w:val="FF0000"/>
          <w:sz w:val="12"/>
          <w:szCs w:val="12"/>
          <w:lang w:eastAsia="x-none"/>
        </w:rPr>
      </w:pPr>
    </w:p>
    <w:p w14:paraId="756F9061" w14:textId="77777777" w:rsidR="002203A1" w:rsidRDefault="002203A1" w:rsidP="002203A1">
      <w:pPr>
        <w:ind w:firstLine="708"/>
        <w:rPr>
          <w:rFonts w:cs="Tahoma"/>
          <w:color w:val="FF0000"/>
        </w:rPr>
      </w:pPr>
      <w:r>
        <w:rPr>
          <w:rFonts w:cs="Tahoma"/>
          <w:color w:val="FF0000"/>
        </w:rPr>
        <w:t>Балльная оценка каждой заявки по критерию «Стоимость предложения» определяется по следующей формуле:</w:t>
      </w:r>
    </w:p>
    <w:p w14:paraId="5402D325" w14:textId="77777777" w:rsidR="002203A1" w:rsidRDefault="002203A1" w:rsidP="002203A1">
      <w:pPr>
        <w:rPr>
          <w:rFonts w:cs="Tahoma"/>
          <w:color w:val="FF0000"/>
          <w:sz w:val="12"/>
          <w:szCs w:val="12"/>
        </w:rPr>
      </w:pPr>
    </w:p>
    <w:p w14:paraId="0B6B20AA" w14:textId="77777777" w:rsidR="002203A1" w:rsidRDefault="002203A1" w:rsidP="002203A1">
      <w:pPr>
        <w:rPr>
          <w:rFonts w:cs="Tahoma"/>
          <w:color w:val="FF0000"/>
        </w:rPr>
      </w:pPr>
      <m:oMathPara>
        <m:oMathParaPr>
          <m:jc m:val="left"/>
        </m:oMathParaPr>
        <m:oMath>
          <m:sSub>
            <m:sSubPr>
              <m:ctrlPr>
                <w:rPr>
                  <w:rFonts w:ascii="Cambria Math" w:hAnsi="Cambria Math"/>
                  <w:i/>
                  <w:color w:val="FF0000"/>
                  <w:lang w:val="en-US"/>
                </w:rPr>
              </m:ctrlPr>
            </m:sSubPr>
            <m:e>
              <m:r>
                <w:rPr>
                  <w:rFonts w:ascii="Cambria Math" w:hAnsi="Cambria Math" w:cs="Tahoma"/>
                  <w:color w:val="FF0000"/>
                  <w:lang w:val="en-US"/>
                </w:rPr>
                <m:t>К1</m:t>
              </m:r>
            </m:e>
            <m:sub/>
          </m:sSub>
          <m:r>
            <w:rPr>
              <w:rFonts w:ascii="Cambria Math" w:cs="Tahoma"/>
              <w:color w:val="FF0000"/>
            </w:rPr>
            <m:t>=</m:t>
          </m:r>
          <m:f>
            <m:fPr>
              <m:ctrlPr>
                <w:rPr>
                  <w:rFonts w:ascii="Cambria Math" w:hAnsi="Cambria Math"/>
                  <w:i/>
                  <w:color w:val="FF0000"/>
                  <w:lang w:val="en-US"/>
                </w:rPr>
              </m:ctrlPr>
            </m:fPr>
            <m:num>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min</m:t>
                  </m:r>
                </m:sub>
              </m:sSub>
            </m:num>
            <m:den>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i</m:t>
                  </m:r>
                </m:sub>
              </m:sSub>
            </m:den>
          </m:f>
          <m:r>
            <w:rPr>
              <w:rFonts w:ascii="Cambria Math" w:cs="Tahoma"/>
              <w:color w:val="FF0000"/>
            </w:rPr>
            <m:t>х</m:t>
          </m:r>
          <m:r>
            <w:rPr>
              <w:rFonts w:ascii="Cambria Math" w:cs="Tahoma"/>
              <w:color w:val="FF0000"/>
            </w:rPr>
            <m:t xml:space="preserve"> </m:t>
          </m:r>
          <m:r>
            <w:rPr>
              <w:rFonts w:ascii="Cambria Math" w:hAnsi="Cambria Math" w:cs="Tahoma"/>
              <w:color w:val="FF0000"/>
              <w:lang w:val="en-US"/>
            </w:rPr>
            <m:t>4</m:t>
          </m:r>
        </m:oMath>
      </m:oMathPara>
    </w:p>
    <w:p w14:paraId="27D0D4A7" w14:textId="77777777" w:rsidR="002203A1" w:rsidRDefault="002203A1" w:rsidP="002203A1">
      <w:pPr>
        <w:rPr>
          <w:rFonts w:cs="Tahoma"/>
          <w:color w:val="FF0000"/>
          <w:sz w:val="12"/>
          <w:szCs w:val="12"/>
        </w:rPr>
      </w:pPr>
    </w:p>
    <w:p w14:paraId="117ADBAB" w14:textId="77777777" w:rsidR="002203A1" w:rsidRDefault="002203A1" w:rsidP="002203A1">
      <w:pPr>
        <w:rPr>
          <w:rFonts w:cs="Tahoma"/>
          <w:color w:val="FF0000"/>
        </w:rPr>
      </w:pPr>
      <w:r>
        <w:rPr>
          <w:rFonts w:cs="Tahoma"/>
          <w:color w:val="FF0000"/>
        </w:rPr>
        <w:t xml:space="preserve">К1– баллы, присуждаемые </w:t>
      </w:r>
      <w:r>
        <w:rPr>
          <w:rFonts w:cs="Tahoma"/>
          <w:color w:val="FF0000"/>
          <w:lang w:val="en-US"/>
        </w:rPr>
        <w:t>i</w:t>
      </w:r>
      <w:r>
        <w:rPr>
          <w:rFonts w:cs="Tahoma"/>
          <w:color w:val="FF0000"/>
        </w:rPr>
        <w:t>-му участнику;</w:t>
      </w:r>
    </w:p>
    <w:p w14:paraId="3149F029" w14:textId="77777777" w:rsidR="002203A1" w:rsidRDefault="002203A1" w:rsidP="002203A1">
      <w:pPr>
        <w:rPr>
          <w:rFonts w:cs="Tahoma"/>
          <w:color w:val="FF0000"/>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min</m:t>
            </m:r>
          </m:sub>
        </m:sSub>
      </m:oMath>
      <w:r w:rsidR="002203A1">
        <w:rPr>
          <w:rFonts w:cs="Tahoma"/>
          <w:color w:val="FF0000"/>
        </w:rPr>
        <w:t xml:space="preserve"> – минимальная стоимость заявки без НДС, предложенная Участниками;</w:t>
      </w:r>
    </w:p>
    <w:p w14:paraId="7C8F21D8" w14:textId="77777777" w:rsidR="002203A1" w:rsidRDefault="002203A1" w:rsidP="002203A1">
      <w:pPr>
        <w:rPr>
          <w:rFonts w:cs="Tahoma"/>
          <w:color w:val="FF0000"/>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002203A1">
        <w:rPr>
          <w:rFonts w:cs="Tahoma"/>
          <w:color w:val="FF0000"/>
        </w:rPr>
        <w:t xml:space="preserve">     –стоимость заявки без НДС </w:t>
      </w:r>
      <w:r w:rsidR="002203A1">
        <w:rPr>
          <w:rFonts w:cs="Tahoma"/>
          <w:color w:val="FF0000"/>
          <w:lang w:val="en-US"/>
        </w:rPr>
        <w:t>i</w:t>
      </w:r>
      <w:r w:rsidR="002203A1">
        <w:rPr>
          <w:rFonts w:cs="Tahoma"/>
          <w:color w:val="FF0000"/>
        </w:rPr>
        <w:t>-го участника;</w:t>
      </w:r>
    </w:p>
    <w:p w14:paraId="1A124A37" w14:textId="77777777" w:rsidR="002203A1" w:rsidRDefault="002203A1" w:rsidP="002203A1">
      <w:pPr>
        <w:rPr>
          <w:rFonts w:cs="Tahoma"/>
          <w:color w:val="FF0000"/>
        </w:rPr>
      </w:pPr>
      <w:r>
        <w:rPr>
          <w:rFonts w:cs="Tahoma"/>
          <w:color w:val="FF0000"/>
          <w:lang w:val="en-US"/>
        </w:rPr>
        <w:t>i</w:t>
      </w:r>
      <w:r>
        <w:rPr>
          <w:rFonts w:cs="Tahoma"/>
          <w:color w:val="FF0000"/>
        </w:rPr>
        <w:t xml:space="preserve"> – участник закупки.</w:t>
      </w:r>
    </w:p>
    <w:p w14:paraId="4AB5E570" w14:textId="77777777" w:rsidR="002203A1" w:rsidRDefault="002203A1" w:rsidP="002203A1">
      <w:pPr>
        <w:rPr>
          <w:rFonts w:cs="Tahoma"/>
          <w:color w:val="FF0000"/>
        </w:rPr>
      </w:pPr>
    </w:p>
    <w:p w14:paraId="3F2FE223" w14:textId="77777777" w:rsidR="002203A1" w:rsidRDefault="002203A1" w:rsidP="002203A1">
      <w:pPr>
        <w:ind w:firstLine="708"/>
        <w:rPr>
          <w:rFonts w:cs="Tahoma"/>
          <w:color w:val="FF0000"/>
        </w:rPr>
      </w:pPr>
      <w:r>
        <w:rPr>
          <w:rFonts w:cs="Tahoma"/>
          <w:color w:val="FF0000"/>
        </w:rPr>
        <w:t>Значения баллов, полученные по данной формуле, округляются до четырех знаков после запятой.</w:t>
      </w:r>
    </w:p>
    <w:commentRangeEnd w:id="3"/>
    <w:p w14:paraId="2B033A7F" w14:textId="77777777" w:rsidR="002203A1" w:rsidRDefault="002203A1" w:rsidP="002203A1">
      <w:pPr>
        <w:jc w:val="both"/>
        <w:rPr>
          <w:rFonts w:cs="Tahoma"/>
          <w:szCs w:val="20"/>
          <w:lang w:eastAsia="en-US"/>
        </w:rPr>
      </w:pPr>
      <w:r>
        <w:rPr>
          <w:rStyle w:val="a7"/>
        </w:rPr>
        <w:commentReference w:id="3"/>
      </w: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RPr="002203A1" w:rsidSect="002203A1">
      <w:pgSz w:w="11906" w:h="16838"/>
      <w:pgMar w:top="851"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Малькова Юлия Николаевна" w:date="2025-04-24T08:44:00Z" w:initials="МЮН">
    <w:p w14:paraId="14D0DEA2" w14:textId="5E052BE9" w:rsidR="0092436E" w:rsidRDefault="0092436E">
      <w:pPr>
        <w:pStyle w:val="a8"/>
      </w:pPr>
      <w:r>
        <w:rPr>
          <w:rStyle w:val="a7"/>
        </w:rPr>
        <w:annotationRef/>
      </w:r>
      <w:r>
        <w:t>Оставляем если есть преимущество по 1875ПП, в остальных случаях удаляем</w:t>
      </w:r>
    </w:p>
  </w:comment>
  <w:comment w:id="0" w:author="Малькова Юлия Николаевна" w:date="2023-11-16T13:53:00Z" w:initials="МЮН">
    <w:p w14:paraId="7B6716D1" w14:textId="3CE3529A" w:rsidR="00520251" w:rsidRDefault="00520251">
      <w:pPr>
        <w:pStyle w:val="a8"/>
      </w:pPr>
      <w:r>
        <w:rPr>
          <w:rStyle w:val="a7"/>
        </w:rPr>
        <w:annotationRef/>
      </w:r>
    </w:p>
  </w:comment>
  <w:comment w:id="1" w:author="Малькова Юлия Николаевна" w:date="2023-11-16T13:53:00Z" w:initials="МЮН">
    <w:p w14:paraId="7C81522F" w14:textId="6616D555" w:rsidR="00520251" w:rsidRDefault="00520251">
      <w:pPr>
        <w:pStyle w:val="a8"/>
      </w:pPr>
      <w:r>
        <w:rPr>
          <w:rStyle w:val="a7"/>
        </w:rPr>
        <w:annotationRef/>
      </w:r>
      <w:r>
        <w:t>Удалить если СМСП</w:t>
      </w:r>
    </w:p>
  </w:comment>
  <w:comment w:id="4" w:author="Малькова Юлия Николаевна" w:date="2025-04-24T08:45:00Z" w:initials="МЮН">
    <w:p w14:paraId="4A9BBB01" w14:textId="6D98A147" w:rsidR="0092436E" w:rsidRDefault="0092436E">
      <w:pPr>
        <w:pStyle w:val="a8"/>
      </w:pPr>
      <w:r>
        <w:rPr>
          <w:rStyle w:val="a7"/>
        </w:rPr>
        <w:annotationRef/>
      </w:r>
      <w:r>
        <w:t>Оставляем если есть преимущество по 1875ПП, в остальных случаях удаляем</w:t>
      </w:r>
    </w:p>
  </w:comment>
  <w:comment w:id="3" w:author="Малькова Юлия Николаевна" w:date="2023-11-16T13:53:00Z" w:initials="МЮН">
    <w:p w14:paraId="098D662C" w14:textId="00B6C41C" w:rsidR="00520251" w:rsidRDefault="00520251">
      <w:pPr>
        <w:pStyle w:val="a8"/>
      </w:pPr>
      <w:r>
        <w:rPr>
          <w:rStyle w:val="a7"/>
        </w:rPr>
        <w:annotationRef/>
      </w:r>
      <w:r>
        <w:t>Вставить если СМСП</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D0DEA2" w15:done="0"/>
  <w15:commentEx w15:paraId="7B6716D1" w15:done="0"/>
  <w15:commentEx w15:paraId="7C81522F" w15:paraIdParent="7B6716D1" w15:done="0"/>
  <w15:commentEx w15:paraId="4A9BBB01" w15:done="0"/>
  <w15:commentEx w15:paraId="098D662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620A8" w14:textId="77777777" w:rsidR="00A62C68" w:rsidRDefault="00A62C68" w:rsidP="00A2008E">
      <w:r>
        <w:separator/>
      </w:r>
    </w:p>
  </w:endnote>
  <w:endnote w:type="continuationSeparator" w:id="0">
    <w:p w14:paraId="054CDA69" w14:textId="77777777" w:rsidR="00A62C68" w:rsidRDefault="00A62C6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983B7" w14:textId="77777777" w:rsidR="00A62C68" w:rsidRDefault="00A62C68" w:rsidP="00A2008E">
      <w:r>
        <w:separator/>
      </w:r>
    </w:p>
  </w:footnote>
  <w:footnote w:type="continuationSeparator" w:id="0">
    <w:p w14:paraId="44E2F8B1" w14:textId="77777777" w:rsidR="00A62C68" w:rsidRDefault="00A62C6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br.ru/"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1101</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2025-04-24T05:45:00Z</dcterms:modified>
</cp:coreProperties>
</file>